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DDC4F">
      <w:pPr>
        <w:spacing w:after="0" w:line="240" w:lineRule="auto"/>
        <w:contextualSpacing/>
        <w:jc w:val="both"/>
        <w:rPr>
          <w:rFonts w:ascii="Times New Roman" w:hAnsi="Times New Roman" w:eastAsia="Times New Roman" w:cs="Times New Roman"/>
          <w:b/>
          <w:kern w:val="0"/>
          <w:lang w:val="en-US"/>
          <w14:ligatures w14:val="none"/>
        </w:rPr>
      </w:pPr>
      <w:r>
        <w:rPr>
          <w:rFonts w:ascii="Times New Roman" w:hAnsi="Times New Roman" w:cs="Times New Roman"/>
        </w:rPr>
        <w:drawing>
          <wp:anchor distT="0" distB="0" distL="114300" distR="114300" simplePos="0" relativeHeight="251659264" behindDoc="0" locked="0" layoutInCell="1" allowOverlap="1">
            <wp:simplePos x="0" y="0"/>
            <wp:positionH relativeFrom="margin">
              <wp:align>right</wp:align>
            </wp:positionH>
            <wp:positionV relativeFrom="paragraph">
              <wp:posOffset>-781050</wp:posOffset>
            </wp:positionV>
            <wp:extent cx="5731510" cy="885825"/>
            <wp:effectExtent l="0" t="0" r="2540" b="9525"/>
            <wp:wrapNone/>
            <wp:docPr id="63861466" name="Picture 1" descr="Description: 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1466" name="Picture 1" descr="Description: 7-ministria-zhvillimit-urban-Grey-01"/>
                    <pic:cNvPicPr>
                      <a:picLocks noChangeAspect="1" noChangeArrowheads="1"/>
                    </pic:cNvPicPr>
                  </pic:nvPicPr>
                  <pic:blipFill>
                    <a:blip r:embed="rId7">
                      <a:extLst>
                        <a:ext uri="{28A0092B-C50C-407E-A947-70E740481C1C}">
                          <a14:useLocalDpi xmlns:a14="http://schemas.microsoft.com/office/drawing/2010/main" val="0"/>
                        </a:ext>
                      </a:extLst>
                    </a:blip>
                    <a:srcRect b="24146"/>
                    <a:stretch>
                      <a:fillRect/>
                    </a:stretch>
                  </pic:blipFill>
                  <pic:spPr>
                    <a:xfrm>
                      <a:off x="0" y="0"/>
                      <a:ext cx="5731510" cy="885825"/>
                    </a:xfrm>
                    <a:prstGeom prst="rect">
                      <a:avLst/>
                    </a:prstGeom>
                    <a:noFill/>
                    <a:ln>
                      <a:noFill/>
                    </a:ln>
                  </pic:spPr>
                </pic:pic>
              </a:graphicData>
            </a:graphic>
          </wp:anchor>
        </w:drawing>
      </w:r>
    </w:p>
    <w:p w14:paraId="54512B70">
      <w:pPr>
        <w:spacing w:after="0" w:line="240" w:lineRule="auto"/>
        <w:contextualSpacing/>
        <w:jc w:val="center"/>
        <w:rPr>
          <w:rFonts w:ascii="Times New Roman" w:hAnsi="Times New Roman" w:eastAsia="Times New Roman" w:cs="Times New Roman"/>
          <w:b/>
          <w:kern w:val="0"/>
          <w:lang w:val="en-US"/>
          <w14:ligatures w14:val="none"/>
        </w:rPr>
      </w:pPr>
      <w:r>
        <w:rPr>
          <w:rFonts w:ascii="Times New Roman" w:hAnsi="Times New Roman" w:eastAsia="Times New Roman" w:cs="Times New Roman"/>
          <w:b/>
          <w:kern w:val="0"/>
          <w:lang w:val="en-US"/>
          <w14:ligatures w14:val="none"/>
        </w:rPr>
        <w:t>MINISTRIA E INFRASTRUKTURËS DHE ENERGJISË</w:t>
      </w:r>
    </w:p>
    <w:p w14:paraId="48FC3829">
      <w:pPr>
        <w:spacing w:after="0" w:line="240" w:lineRule="auto"/>
        <w:contextualSpacing/>
        <w:jc w:val="center"/>
        <w:rPr>
          <w:rFonts w:ascii="Times New Roman" w:hAnsi="Times New Roman" w:eastAsia="Times New Roman" w:cs="Times New Roman"/>
          <w:b/>
          <w:caps/>
          <w:kern w:val="0"/>
          <w14:ligatures w14:val="none"/>
        </w:rPr>
      </w:pPr>
      <w:r>
        <w:rPr>
          <w:rFonts w:ascii="Times New Roman" w:hAnsi="Times New Roman" w:eastAsia="Times New Roman" w:cs="Times New Roman"/>
          <w:b/>
          <w:caps/>
          <w:kern w:val="0"/>
          <w14:ligatures w14:val="none"/>
        </w:rPr>
        <w:t>AGJENCIA KOMBËTARE E BURIMEVE NATYRORE</w:t>
      </w:r>
    </w:p>
    <w:p w14:paraId="0F0359E2">
      <w:pPr>
        <w:spacing w:after="0" w:line="240" w:lineRule="auto"/>
        <w:contextualSpacing/>
        <w:jc w:val="center"/>
        <w:rPr>
          <w:rFonts w:ascii="Times New Roman" w:hAnsi="Times New Roman" w:eastAsia="Times New Roman" w:cs="Times New Roman"/>
          <w:b/>
          <w:kern w:val="0"/>
          <w:lang w:val="en-US"/>
          <w14:ligatures w14:val="none"/>
        </w:rPr>
      </w:pPr>
      <w:r>
        <w:rPr>
          <w:rFonts w:ascii="Times New Roman" w:hAnsi="Times New Roman" w:eastAsia="Times New Roman" w:cs="Times New Roman"/>
          <w:b/>
          <w:kern w:val="0"/>
          <w:lang w:val="en-US"/>
          <w14:ligatures w14:val="none"/>
        </w:rPr>
        <w:t>DREJTORIA E MONITORIMIT</w:t>
      </w:r>
    </w:p>
    <w:p w14:paraId="0E9BF68A">
      <w:pPr>
        <w:spacing w:after="0" w:line="240" w:lineRule="auto"/>
        <w:contextualSpacing/>
        <w:jc w:val="center"/>
        <w:rPr>
          <w:rFonts w:ascii="Times New Roman" w:hAnsi="Times New Roman" w:eastAsia="Times New Roman" w:cs="Times New Roman"/>
          <w:b/>
          <w:kern w:val="0"/>
          <w:lang w:val="en-US"/>
          <w14:ligatures w14:val="none"/>
        </w:rPr>
      </w:pPr>
      <w:r>
        <w:rPr>
          <w:rFonts w:ascii="Times New Roman" w:hAnsi="Times New Roman" w:eastAsia="Times New Roman" w:cs="Times New Roman"/>
          <w:b/>
          <w:kern w:val="0"/>
          <w:lang w:val="en-US"/>
          <w14:ligatures w14:val="none"/>
        </w:rPr>
        <w:t>SEKTORI I MONITORIMIT MINERAR</w:t>
      </w:r>
    </w:p>
    <w:p w14:paraId="2D0BD9D4">
      <w:pPr>
        <w:jc w:val="both"/>
        <w:rPr>
          <w:rFonts w:ascii="Times New Roman" w:hAnsi="Times New Roman" w:cs="Times New Roman"/>
        </w:rPr>
      </w:pPr>
    </w:p>
    <w:p w14:paraId="765760EE">
      <w:pPr>
        <w:jc w:val="center"/>
        <w:rPr>
          <w:rFonts w:ascii="Times New Roman" w:hAnsi="Times New Roman" w:cs="Times New Roman"/>
        </w:rPr>
      </w:pPr>
      <w:r>
        <w:rPr>
          <w:rFonts w:ascii="Times New Roman" w:hAnsi="Times New Roman" w:cs="Times New Roman"/>
        </w:rPr>
        <w:t>Nr. ________ Prot.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Tiranë, më </w:t>
      </w:r>
      <w:r>
        <w:rPr>
          <w:rFonts w:hint="default" w:ascii="Times New Roman" w:hAnsi="Times New Roman" w:cs="Times New Roman"/>
          <w:lang w:val="en-US"/>
        </w:rPr>
        <w:t>21</w:t>
      </w:r>
      <w:r>
        <w:rPr>
          <w:rFonts w:ascii="Times New Roman" w:hAnsi="Times New Roman" w:cs="Times New Roman"/>
        </w:rPr>
        <w:t>/ 02 / 2025</w:t>
      </w:r>
    </w:p>
    <w:p w14:paraId="274AC545">
      <w:pPr>
        <w:jc w:val="both"/>
        <w:rPr>
          <w:rFonts w:ascii="Times New Roman" w:hAnsi="Times New Roman" w:cs="Times New Roman"/>
        </w:rPr>
      </w:pPr>
    </w:p>
    <w:p w14:paraId="6B6BD841">
      <w:pPr>
        <w:jc w:val="both"/>
        <w:rPr>
          <w:rFonts w:ascii="Times New Roman" w:hAnsi="Times New Roman" w:cs="Times New Roman"/>
        </w:rPr>
      </w:pPr>
      <w:r>
        <w:rPr>
          <w:rFonts w:ascii="Times New Roman" w:hAnsi="Times New Roman" w:cs="Times New Roman"/>
        </w:rPr>
        <w:t xml:space="preserve">Lënda: </w:t>
      </w:r>
      <w:r>
        <w:rPr>
          <w:rFonts w:ascii="Times New Roman" w:hAnsi="Times New Roman" w:cs="Times New Roman"/>
        </w:rPr>
        <w:tab/>
      </w:r>
      <w:r>
        <w:rPr>
          <w:rFonts w:ascii="Times New Roman" w:hAnsi="Times New Roman" w:cs="Times New Roman"/>
          <w:b/>
          <w:bCs/>
        </w:rPr>
        <w:t>Kthim përgjigje</w:t>
      </w:r>
    </w:p>
    <w:p w14:paraId="4A0DAA74">
      <w:pPr>
        <w:jc w:val="both"/>
        <w:rPr>
          <w:rFonts w:ascii="Times New Roman" w:hAnsi="Times New Roman" w:cs="Times New Roman"/>
        </w:rPr>
      </w:pPr>
    </w:p>
    <w:p w14:paraId="7FE49E8B">
      <w:pPr>
        <w:jc w:val="both"/>
        <w:rPr>
          <w:rFonts w:ascii="Times New Roman" w:hAnsi="Times New Roman" w:cs="Times New Roman"/>
        </w:rPr>
      </w:pPr>
      <w:r>
        <w:rPr>
          <w:rFonts w:ascii="Times New Roman" w:hAnsi="Times New Roman" w:cs="Times New Roman"/>
        </w:rPr>
        <w:t>Në përgjigje Tuajës, me datë 17.02.2025, protokolluar me Tonën nr. 970 prot., datë 17.02.2025, me lëndë “Kërkesë për informacion”, ju bëjmë me dije si vijon:</w:t>
      </w:r>
    </w:p>
    <w:p w14:paraId="23A8AC47">
      <w:pPr>
        <w:tabs>
          <w:tab w:val="left" w:pos="900"/>
        </w:tabs>
        <w:spacing w:after="120"/>
        <w:jc w:val="both"/>
        <w:rPr>
          <w:rFonts w:ascii="Times New Roman" w:hAnsi="Times New Roman" w:eastAsia="Times New Roman"/>
        </w:rPr>
      </w:pPr>
      <w:r>
        <w:rPr>
          <w:rFonts w:ascii="Times New Roman" w:hAnsi="Times New Roman" w:eastAsia="Times New Roman"/>
        </w:rPr>
        <w:t>Subjekti “BABASI COO” shpk zotëron Lejen Minerare Nr.1835 datë 30.06.2017 dhënë për shfrytëzimin e  mineralit “Gëlqeror i Mermerizuar” në objektin “Rasek” Bashkia Shkodër.</w:t>
      </w:r>
    </w:p>
    <w:p w14:paraId="45BE3A87">
      <w:pPr>
        <w:jc w:val="both"/>
        <w:rPr>
          <w:rFonts w:ascii="Times New Roman" w:hAnsi="Times New Roman" w:eastAsia="Times New Roman"/>
        </w:rPr>
      </w:pPr>
      <w:r>
        <w:rPr>
          <w:rFonts w:ascii="Times New Roman" w:hAnsi="Times New Roman" w:eastAsia="Times New Roman"/>
        </w:rPr>
        <w:t>Në këtë objekt punojnë 2 subjekte për shfrytëzimin e mineralit Gëlqeror i Mermerizuar, subjekti “BABASI COO” shpk  që është zotëruesi i lejes minerare dhe subjekti “NGA-GROUP” shpk me përfaqësues Z. Aleksandër Shytani, që është n/kontraktor i subjektit “BABASI COO” shpk, miratuar nga MIE me shkresën nr. 4809/1 prot. datë 24.04.2018.</w:t>
      </w:r>
    </w:p>
    <w:p w14:paraId="6315CA69">
      <w:pPr>
        <w:jc w:val="both"/>
        <w:rPr>
          <w:rFonts w:ascii="Times New Roman" w:hAnsi="Times New Roman" w:eastAsia="Times New Roman"/>
        </w:rPr>
      </w:pPr>
      <w:r>
        <w:rPr>
          <w:rFonts w:ascii="Times New Roman" w:hAnsi="Times New Roman" w:eastAsia="Times New Roman"/>
        </w:rPr>
        <w:t>Lidhur me pyetjet e drejtuara nga ana Juaj për AKBN, sqarojmë se:</w:t>
      </w:r>
    </w:p>
    <w:p w14:paraId="128DB2FA">
      <w:pPr>
        <w:jc w:val="both"/>
        <w:rPr>
          <w:rFonts w:ascii="Times New Roman" w:hAnsi="Times New Roman" w:eastAsia="Times New Roman"/>
          <w:b/>
          <w:bCs/>
        </w:rPr>
      </w:pPr>
      <w:r>
        <w:rPr>
          <w:rFonts w:ascii="Times New Roman" w:hAnsi="Times New Roman" w:eastAsia="Times New Roman"/>
          <w:b/>
          <w:bCs/>
        </w:rPr>
        <w:t>Pyetja 1. Përse nuk e keni revokuar lejen për këto 2 gurore, kur kjo kompani është në gjyqë me këta banorë?</w:t>
      </w:r>
    </w:p>
    <w:p w14:paraId="784A2973">
      <w:pPr>
        <w:jc w:val="both"/>
        <w:rPr>
          <w:rFonts w:ascii="Times New Roman" w:hAnsi="Times New Roman" w:eastAsia="Times New Roman"/>
        </w:rPr>
      </w:pPr>
      <w:r>
        <w:rPr>
          <w:rFonts w:ascii="Times New Roman" w:hAnsi="Times New Roman" w:eastAsia="Times New Roman"/>
        </w:rPr>
        <w:t>AKBN ka si mision të saj monitorimit/mbikëqyrjen e veprimtarisë minerare të subjekteve private të liçensuara për ushtrim aktiviteti minerar shfrytëzimi në Republikën e Shqipërisë. Në veprimtarinë e saj të përditshme, në zbatim edhe të ligjit Nr.10304, datë 15.07.2010 “</w:t>
      </w:r>
      <w:r>
        <w:rPr>
          <w:rFonts w:ascii="Times New Roman" w:hAnsi="Times New Roman" w:eastAsia="Times New Roman"/>
          <w:i/>
        </w:rPr>
        <w:t>Për Sektorin Minerar në Republikën e Shqipërisë</w:t>
      </w:r>
      <w:r>
        <w:rPr>
          <w:rFonts w:ascii="Times New Roman" w:hAnsi="Times New Roman" w:eastAsia="Times New Roman"/>
        </w:rPr>
        <w:t>”, i ndryshuar, akteve nënligjore që rrjedhin prej tij dhe V.K.M-së nr.547, datë 09.08.2006 “</w:t>
      </w:r>
      <w:r>
        <w:rPr>
          <w:rFonts w:ascii="Times New Roman" w:hAnsi="Times New Roman" w:eastAsia="Times New Roman"/>
          <w:i/>
          <w:lang w:val="en-US"/>
        </w:rPr>
        <w:t>Për Krijimin e Agjencisë Kombëtare të Burimeve Natyrore</w:t>
      </w:r>
      <w:r>
        <w:rPr>
          <w:rFonts w:ascii="Times New Roman" w:hAnsi="Times New Roman" w:eastAsia="Times New Roman"/>
        </w:rPr>
        <w:t>” nuk liçenson subjekte minerare. E krijuar si një strukturë mbështëse e Ministrisë së Infrastrukturës dhe Energjisë, AKBN propozon revokimin e një leje minerare në rastet kur kemi shkelje të Nenit 47 të ligjit 10304 datë 15.07.2010 dhe në rastin konkret të Lejes Minerare të Shfrytëzimit nr. 1835 në objektin e Gëlqerorit të Mermerizuar “Rasek”, bashkia Shkodër nuk ka shkak për “propozim për revokim të lejes minerare të shfrytëzimit”.</w:t>
      </w:r>
    </w:p>
    <w:p w14:paraId="610576C4">
      <w:pPr>
        <w:jc w:val="both"/>
        <w:rPr>
          <w:rFonts w:ascii="Times New Roman" w:hAnsi="Times New Roman" w:eastAsia="Times New Roman"/>
        </w:rPr>
      </w:pPr>
      <w:r>
        <w:rPr>
          <w:rFonts w:ascii="Times New Roman" w:hAnsi="Times New Roman" w:eastAsia="Times New Roman"/>
        </w:rPr>
        <w:t>Në kërkesën Tuaj shpreheni se shoqëria është në proces gjyqësor me banorët, kur nga dokumentacione që ne si Drejtori Monitorimi pranë AKBN-së zotërojme, [citohet Vendimi nr. 29 (Për Arkivimin e Raportimit) datë 18.01.2024], kjo çështje është arkivuar nga Prokuroria Pranë Gjykatës së Shkallës së Parë të Juridiksionit të Përgjithshëm Shkodër.</w:t>
      </w:r>
    </w:p>
    <w:p w14:paraId="46984D9E">
      <w:pPr>
        <w:jc w:val="both"/>
        <w:rPr>
          <w:rFonts w:ascii="Times New Roman" w:hAnsi="Times New Roman" w:eastAsia="Times New Roman"/>
          <w:b/>
          <w:bCs/>
        </w:rPr>
      </w:pPr>
      <w:r>
        <w:rPr>
          <w:rFonts w:ascii="Times New Roman" w:hAnsi="Times New Roman" w:eastAsia="Times New Roman"/>
          <w:b/>
          <w:bCs/>
        </w:rPr>
        <w:t>Pyetja 2. A e keni verifikuar në terren dëmin që është shkaktuar në atë zonë?</w:t>
      </w:r>
    </w:p>
    <w:p w14:paraId="26B3B329">
      <w:pPr>
        <w:jc w:val="both"/>
        <w:rPr>
          <w:rFonts w:ascii="Times New Roman" w:hAnsi="Times New Roman" w:eastAsia="Times New Roman"/>
        </w:rPr>
      </w:pPr>
      <w:r>
        <w:rPr>
          <w:rFonts w:ascii="Times New Roman" w:hAnsi="Times New Roman" w:eastAsia="Times New Roman"/>
        </w:rPr>
        <w:t xml:space="preserve">Sektori i Monitorimit Minerar pranë Drejtorisë së Monitormit në AKBN, kryen mbikëqyrjen 2 (dy) herë në vit të gjithë objekteve të liçensuara në Republikën e Shqipërisë. Në këtë objekt (Rasek), mbikëqyrja është kryer rregullisht ku është konstatuar/verifikuar/saktesuar/azhornuar sipërfaqja e prekur nga zhvillimi i aktivitetit minerar të shfrytëzimit, kushtet e zhvillimit të objektik dhe respektimi i Planit vjetor të Punës sipas viteve të miratimit. Subjekti “Babasi COO” shpk, si zotërues i lejes minerare të shfrytëzimit nr. 1835 datë 30.06.2017, ka kryer çdo vit, për vitin pasardhës, pagesën e Garancisë Vjetore për Rehabilitimin e Mjesidit sipas vlerave të përcaktuara që në Akt Miratimin e firmosur nga Ministri përkatës i aksesueshëm në QKB. </w:t>
      </w:r>
    </w:p>
    <w:p w14:paraId="00EC4985">
      <w:pPr>
        <w:jc w:val="both"/>
        <w:rPr>
          <w:rFonts w:ascii="Times New Roman" w:hAnsi="Times New Roman" w:eastAsia="Times New Roman"/>
          <w:b/>
          <w:bCs/>
        </w:rPr>
      </w:pPr>
      <w:r>
        <w:rPr>
          <w:rFonts w:ascii="Times New Roman" w:hAnsi="Times New Roman" w:eastAsia="Times New Roman"/>
          <w:b/>
          <w:bCs/>
        </w:rPr>
        <w:t>Pyetja 3. Për shkak të kësaj leje, janë sot ende pa ujë të pijshëm banorët e kësaj zone dhe pa kanal vaditës.</w:t>
      </w:r>
    </w:p>
    <w:p w14:paraId="661C7FBC">
      <w:pPr>
        <w:jc w:val="both"/>
        <w:rPr>
          <w:rFonts w:ascii="Times New Roman" w:hAnsi="Times New Roman" w:eastAsia="Times New Roman"/>
        </w:rPr>
      </w:pPr>
      <w:r>
        <w:rPr>
          <w:rFonts w:ascii="Times New Roman" w:hAnsi="Times New Roman" w:eastAsia="Times New Roman"/>
        </w:rPr>
        <w:t>Pavarësisht që nuk është objekt i punës tonë, ju vëmë në vëmendje shkresën me nr. 51/1 prot., datë 23.01.2020 të Ujësjellës – Kanalizimeve Shkodër sh.a ku sqarohet shumë saktë përgjigjja e pyetjes Tuaj.</w:t>
      </w:r>
    </w:p>
    <w:p w14:paraId="43CBA751">
      <w:pPr>
        <w:jc w:val="both"/>
        <w:rPr>
          <w:rFonts w:ascii="Times New Roman" w:hAnsi="Times New Roman" w:eastAsia="Times New Roman"/>
          <w:b/>
          <w:bCs/>
        </w:rPr>
      </w:pPr>
      <w:r>
        <w:rPr>
          <w:rFonts w:ascii="Times New Roman" w:hAnsi="Times New Roman" w:eastAsia="Times New Roman"/>
          <w:b/>
          <w:bCs/>
        </w:rPr>
        <w:t>Pyetja 4. Sipas Prokurorisë uji rezulton i papijshëm, ndërsa juve ju rezulton në këtë rast i pijshëm.</w:t>
      </w:r>
    </w:p>
    <w:p w14:paraId="41A1185B">
      <w:pPr>
        <w:jc w:val="both"/>
        <w:rPr>
          <w:rFonts w:ascii="Times New Roman" w:hAnsi="Times New Roman" w:eastAsia="Times New Roman"/>
        </w:rPr>
      </w:pPr>
      <w:r>
        <w:rPr>
          <w:rFonts w:ascii="Times New Roman" w:hAnsi="Times New Roman" w:eastAsia="Times New Roman"/>
        </w:rPr>
        <w:t>Me mirëkuptimin Tuaj profesional, edhe kjo nuk ka të bëjë me objektin e punës Tonë. Megjithatë, ju vëmë përsëri në vëmendje Fletë Analizë Uji Nr. 18, datë 02.02.2024, Nr. 19, datë 02.02.2024 dhe Nr. 20, datë 07.02.2024 lëshuar nga Operatori i Shërbimeve të Kujdesit Shëndetësor, Njësia e Kujdesit Shëndetësor Shkodër, Shërbimi i Epidemiologjisë dhe Shëndetit Mjedisor.</w:t>
      </w:r>
    </w:p>
    <w:p w14:paraId="6FEE30F6">
      <w:pPr>
        <w:jc w:val="both"/>
        <w:rPr>
          <w:rFonts w:ascii="Times New Roman" w:hAnsi="Times New Roman" w:eastAsia="Times New Roman"/>
          <w:b/>
          <w:bCs/>
        </w:rPr>
      </w:pPr>
      <w:r>
        <w:rPr>
          <w:rFonts w:ascii="Times New Roman" w:hAnsi="Times New Roman" w:eastAsia="Times New Roman"/>
          <w:b/>
          <w:bCs/>
        </w:rPr>
        <w:t>Pyetja 5, 6, 7. Sipas hetimeve kjo leje është dhënë pa miratimin e Ministrisë së Kulturës dhe Turizmit. Nuk është marrë firma e administratorit për VMN-në e thelluar. Përse nuk e revokoni këtë leje?</w:t>
      </w:r>
    </w:p>
    <w:p w14:paraId="3EF3F03C">
      <w:pPr>
        <w:jc w:val="both"/>
        <w:rPr>
          <w:rFonts w:ascii="Times New Roman" w:hAnsi="Times New Roman" w:eastAsia="Times New Roman"/>
        </w:rPr>
      </w:pPr>
      <w:r>
        <w:rPr>
          <w:rFonts w:ascii="Times New Roman" w:hAnsi="Times New Roman" w:eastAsia="Times New Roman"/>
        </w:rPr>
        <w:t>AKBN NUK PAJIS ME LEJE MINERARE SHFRYTËZIMI subjektet private por vetëm monitoron ato leje që janë aktive për shfrytëzim sipas një programi vjetor pune teknik të miratuar. Në praktikën ligjore, Leja Minerare e Shfrytëzimit bëhet aktive në Qendrën Kombëtare të Biznesit.</w:t>
      </w:r>
    </w:p>
    <w:p w14:paraId="7D3D8575">
      <w:pPr>
        <w:jc w:val="both"/>
        <w:rPr>
          <w:rFonts w:ascii="Times New Roman" w:hAnsi="Times New Roman" w:eastAsia="Times New Roman"/>
          <w:b/>
          <w:bCs/>
        </w:rPr>
      </w:pPr>
      <w:r>
        <w:rPr>
          <w:rFonts w:ascii="Times New Roman" w:hAnsi="Times New Roman" w:eastAsia="Times New Roman"/>
          <w:b/>
          <w:bCs/>
        </w:rPr>
        <w:t>Pyetja 8. Përse nuk keni verifikuar këtë leje më parë me inspektorët tuaj në terren, nëse do sillte këtë problem të madh për këta banorë.</w:t>
      </w:r>
    </w:p>
    <w:p w14:paraId="2EE14C90">
      <w:pPr>
        <w:jc w:val="both"/>
        <w:rPr>
          <w:rFonts w:ascii="Times New Roman" w:hAnsi="Times New Roman" w:eastAsia="Times New Roman"/>
        </w:rPr>
      </w:pPr>
      <w:r>
        <w:rPr>
          <w:rFonts w:ascii="Times New Roman" w:hAnsi="Times New Roman" w:eastAsia="Times New Roman"/>
        </w:rPr>
        <w:t>I nderuar gazetar, Sektori i Monitorimit Minerar, Drejtoria e Monitorimit pranë AKBN-së, kryen mbikëqyrje të veprimtarisë minerare në objektet e licensuara të paktën 2(dy) herë në vit. Në objektin “Rasek”, kjo mbikëqyrje është kryer edhe më shpesh referuar në çdo rast kur ka patur ankesa nga banorët, Policia Vendore, Inspektoriatet e ndryshme. Në të gjitha rastet e sipërpërmendura, AKBN ka kthyer përgjigjet përkatëse, në kohë, tek të gjitha institucionet përfshirë MIE, MTM, Avokatin e Popullit, Drejtorisë Vendore të Policisë Shkodër, Bashkisë Shkodër madje edhe vetë banorëve të fshatit Domen, Njësia Administrative Postribë, Bashkia Shkodër. Në çdo rast, që nga viti 2019,  AKBN ka qenë instucioni më bashkëpunues me inspektorët në terren, takimet me banorët dhe dhënien e mendimeve eksperte për veprimtarinë minerare.</w:t>
      </w:r>
      <w:bookmarkStart w:id="0" w:name="_GoBack"/>
      <w:bookmarkEnd w:id="0"/>
    </w:p>
    <w:sectPr>
      <w:footerReference r:id="rId5" w:type="default"/>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D6E9F">
    <w:pPr>
      <w:pStyle w:val="13"/>
      <w:pBdr>
        <w:top w:val="single" w:color="9BBB59" w:sz="24" w:space="5"/>
      </w:pBdr>
      <w:jc w:val="center"/>
      <w:rPr>
        <w:i/>
        <w:iCs/>
        <w:sz w:val="20"/>
        <w:szCs w:val="20"/>
      </w:rPr>
    </w:pPr>
    <w:r>
      <w:rPr>
        <w:b/>
        <w:i/>
        <w:iCs/>
        <w:sz w:val="20"/>
        <w:szCs w:val="20"/>
      </w:rPr>
      <w:t>Adresa:</w:t>
    </w:r>
    <w:r>
      <w:rPr>
        <w:i/>
        <w:iCs/>
        <w:sz w:val="20"/>
        <w:szCs w:val="20"/>
      </w:rPr>
      <w:t xml:space="preserve"> Bulevardi ” Bajram Curri”,  Blloku “Vasil Shanto”, Tiranë, Shqipëri.</w:t>
    </w:r>
  </w:p>
  <w:p w14:paraId="352FAB75">
    <w:pPr>
      <w:pStyle w:val="13"/>
      <w:pBdr>
        <w:top w:val="single" w:color="9BBB59" w:sz="24" w:space="5"/>
      </w:pBdr>
      <w:jc w:val="center"/>
      <w:rPr>
        <w:i/>
        <w:iCs/>
        <w:color w:val="8C8C8C"/>
        <w:sz w:val="20"/>
        <w:szCs w:val="20"/>
      </w:rPr>
    </w:pPr>
    <w:r>
      <w:rPr>
        <w:b/>
        <w:i/>
        <w:iCs/>
        <w:sz w:val="20"/>
        <w:szCs w:val="20"/>
      </w:rPr>
      <w:t>Tel</w:t>
    </w:r>
    <w:r>
      <w:rPr>
        <w:i/>
        <w:iCs/>
        <w:sz w:val="20"/>
        <w:szCs w:val="20"/>
      </w:rPr>
      <w:t xml:space="preserve">. +355 (0) 4 225 7117; </w:t>
    </w:r>
    <w:r>
      <w:rPr>
        <w:b/>
        <w:i/>
        <w:iCs/>
        <w:sz w:val="20"/>
        <w:szCs w:val="20"/>
      </w:rPr>
      <w:t>Fax</w:t>
    </w:r>
    <w:r>
      <w:rPr>
        <w:i/>
        <w:iCs/>
        <w:sz w:val="20"/>
        <w:szCs w:val="20"/>
      </w:rPr>
      <w:t xml:space="preserve"> +355 (0) 4 225 7382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E8"/>
    <w:rsid w:val="000F2C8B"/>
    <w:rsid w:val="001443E8"/>
    <w:rsid w:val="00196A3B"/>
    <w:rsid w:val="00245646"/>
    <w:rsid w:val="004237EB"/>
    <w:rsid w:val="00535EFB"/>
    <w:rsid w:val="005975F7"/>
    <w:rsid w:val="005A283E"/>
    <w:rsid w:val="005C7E04"/>
    <w:rsid w:val="00716083"/>
    <w:rsid w:val="00761391"/>
    <w:rsid w:val="00810F1B"/>
    <w:rsid w:val="0097372B"/>
    <w:rsid w:val="00A05C6D"/>
    <w:rsid w:val="00A2297C"/>
    <w:rsid w:val="00CC171C"/>
    <w:rsid w:val="00DB57BC"/>
    <w:rsid w:val="00E746AC"/>
    <w:rsid w:val="00EE33CD"/>
    <w:rsid w:val="4C924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sq-AL"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6"/>
    <w:unhideWhenUsed/>
    <w:qFormat/>
    <w:uiPriority w:val="99"/>
    <w:pPr>
      <w:tabs>
        <w:tab w:val="center" w:pos="4680"/>
        <w:tab w:val="right" w:pos="9360"/>
      </w:tabs>
      <w:spacing w:after="0" w:line="240" w:lineRule="auto"/>
    </w:pPr>
  </w:style>
  <w:style w:type="paragraph" w:styleId="14">
    <w:name w:val="header"/>
    <w:basedOn w:val="1"/>
    <w:link w:val="35"/>
    <w:unhideWhenUsed/>
    <w:qFormat/>
    <w:uiPriority w:val="99"/>
    <w:pPr>
      <w:tabs>
        <w:tab w:val="center" w:pos="4680"/>
        <w:tab w:val="right" w:pos="9360"/>
      </w:tabs>
      <w:spacing w:after="0" w:line="240" w:lineRule="auto"/>
    </w:p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lang w:val="sq-AL"/>
    </w:rPr>
  </w:style>
  <w:style w:type="character" w:customStyle="1" w:styleId="18">
    <w:name w:val="Heading 2 Char"/>
    <w:basedOn w:val="11"/>
    <w:link w:val="3"/>
    <w:semiHidden/>
    <w:qFormat/>
    <w:uiPriority w:val="9"/>
    <w:rPr>
      <w:rFonts w:asciiTheme="majorHAnsi" w:hAnsiTheme="majorHAnsi" w:eastAsiaTheme="majorEastAsia" w:cstheme="majorBidi"/>
      <w:color w:val="104862" w:themeColor="accent1" w:themeShade="BF"/>
      <w:sz w:val="32"/>
      <w:szCs w:val="32"/>
      <w:lang w:val="sq-AL"/>
    </w:rPr>
  </w:style>
  <w:style w:type="character" w:customStyle="1" w:styleId="19">
    <w:name w:val="Heading 3 Char"/>
    <w:basedOn w:val="11"/>
    <w:link w:val="4"/>
    <w:semiHidden/>
    <w:qFormat/>
    <w:uiPriority w:val="9"/>
    <w:rPr>
      <w:rFonts w:eastAsiaTheme="majorEastAsia" w:cstheme="majorBidi"/>
      <w:color w:val="104862" w:themeColor="accent1" w:themeShade="BF"/>
      <w:sz w:val="28"/>
      <w:szCs w:val="28"/>
      <w:lang w:val="sq-AL"/>
    </w:rPr>
  </w:style>
  <w:style w:type="character" w:customStyle="1" w:styleId="20">
    <w:name w:val="Heading 4 Char"/>
    <w:basedOn w:val="11"/>
    <w:link w:val="5"/>
    <w:semiHidden/>
    <w:qFormat/>
    <w:uiPriority w:val="9"/>
    <w:rPr>
      <w:rFonts w:eastAsiaTheme="majorEastAsia" w:cstheme="majorBidi"/>
      <w:i/>
      <w:iCs/>
      <w:color w:val="104862" w:themeColor="accent1" w:themeShade="BF"/>
      <w:lang w:val="sq-AL"/>
    </w:rPr>
  </w:style>
  <w:style w:type="character" w:customStyle="1" w:styleId="21">
    <w:name w:val="Heading 5 Char"/>
    <w:basedOn w:val="11"/>
    <w:link w:val="6"/>
    <w:semiHidden/>
    <w:qFormat/>
    <w:uiPriority w:val="9"/>
    <w:rPr>
      <w:rFonts w:eastAsiaTheme="majorEastAsia" w:cstheme="majorBidi"/>
      <w:color w:val="104862" w:themeColor="accent1" w:themeShade="BF"/>
      <w:lang w:val="sq-AL"/>
    </w:rPr>
  </w:style>
  <w:style w:type="character" w:customStyle="1" w:styleId="22">
    <w:name w:val="Heading 6 Char"/>
    <w:basedOn w:val="11"/>
    <w:link w:val="7"/>
    <w:semiHidden/>
    <w:qFormat/>
    <w:uiPriority w:val="9"/>
    <w:rPr>
      <w:rFonts w:eastAsiaTheme="majorEastAsia" w:cstheme="majorBidi"/>
      <w:i/>
      <w:iCs/>
      <w:color w:val="595959" w:themeColor="text1" w:themeTint="A6"/>
      <w:lang w:val="sq-AL"/>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lang w:val="sq-AL"/>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lang w:val="sq-AL"/>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lang w:val="sq-AL"/>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lang w:val="sq-AL"/>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lang w:val="sq-AL"/>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lang w:val="sq-AL"/>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qFormat/>
    <w:uiPriority w:val="30"/>
    <w:rPr>
      <w:i/>
      <w:iCs/>
      <w:color w:val="104862" w:themeColor="accent1" w:themeShade="BF"/>
      <w:lang w:val="sq-AL"/>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Header Char"/>
    <w:basedOn w:val="11"/>
    <w:link w:val="14"/>
    <w:qFormat/>
    <w:uiPriority w:val="99"/>
    <w:rPr>
      <w:lang w:val="sq-AL"/>
    </w:rPr>
  </w:style>
  <w:style w:type="character" w:customStyle="1" w:styleId="36">
    <w:name w:val="Footer Char"/>
    <w:basedOn w:val="11"/>
    <w:link w:val="13"/>
    <w:qFormat/>
    <w:uiPriority w:val="99"/>
    <w:rPr>
      <w:lang w:val="sq-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4727</Characters>
  <Lines>39</Lines>
  <Paragraphs>11</Paragraphs>
  <TotalTime>1505</TotalTime>
  <ScaleCrop>false</ScaleCrop>
  <LinksUpToDate>false</LinksUpToDate>
  <CharactersWithSpaces>5545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2025-02-20T11:25:00Z</dcterms:created>
  <dc:creator>Endi Tomini</dc:creator>
  <cp:lastModifiedBy>o.nuellari</cp:lastModifiedBy>
  <cp:lastPrinted>2025-02-21T12:06:00Z</cp:lastPrinted>
  <dcterms:modified xsi:type="dcterms:W3CDTF">2025-04-03T09:38:38Z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C22999D446A64B578D7D979B834782DD_13</vt:lpwstr>
  </property>
</Properties>
</file>